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R4-2108759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May. 19-27,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On terminology updates for measurements in NR-U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6.1.5.1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0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pStyle w:val="35"/>
        <w:numPr>
          <w:ilvl w:val="0"/>
          <w:numId w:val="0"/>
        </w:numPr>
        <w:ind w:leftChars="0"/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issue of terminology updates due to CSSF was discussed during the RAN4 98-bis-e meeting without a conclusion. The current status is summarized in the WF [1] as shown below.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General: Terminology updates due to CSSF 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For RLM: The UE is not required to determine the availability of SSB occasions more frequent than once per L1 indication interval.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For CBD</w:t>
            </w:r>
            <w:r>
              <w:rPr>
                <w:rFonts w:hint="eastAsia"/>
                <w:vertAlign w:val="baseline"/>
                <w:lang w:val="en-US" w:eastAsia="zh-CN"/>
              </w:rPr>
              <w:t>: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FFS whether the UE is not required to determine the availability of SSB occasions more frequent than once per P*DRX cycle length when configured with DRX.</w:t>
            </w:r>
          </w:p>
        </w:tc>
      </w:tr>
    </w:tbl>
    <w:p>
      <w:pPr>
        <w:pStyle w:val="35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The only open issue now is on CBD. This paper discusses the open issue listed above in the WF and provide our view.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From several meetings ago, companies have been discussing the issues related to terminology updates for NR-U due to CSSF. This is because under NR-U, the definition of </w:t>
      </w:r>
      <w:r>
        <w:rPr>
          <w:rFonts w:hint="default" w:eastAsia="宋体"/>
          <w:sz w:val="22"/>
          <w:szCs w:val="22"/>
          <w:lang w:val="en-US" w:eastAsia="zh-CN"/>
        </w:rPr>
        <w:t>“</w:t>
      </w:r>
      <w:r>
        <w:rPr>
          <w:rFonts w:hint="eastAsia" w:eastAsia="宋体"/>
          <w:sz w:val="22"/>
          <w:szCs w:val="22"/>
          <w:lang w:val="en-US" w:eastAsia="zh-CN"/>
        </w:rPr>
        <w:t>cell / SSB being available</w:t>
      </w:r>
      <w:r>
        <w:rPr>
          <w:rFonts w:hint="default" w:eastAsia="宋体"/>
          <w:sz w:val="22"/>
          <w:szCs w:val="22"/>
          <w:lang w:val="en-US" w:eastAsia="zh-CN"/>
        </w:rPr>
        <w:t>”</w:t>
      </w:r>
      <w:r>
        <w:rPr>
          <w:rFonts w:hint="eastAsia" w:eastAsia="宋体"/>
          <w:sz w:val="22"/>
          <w:szCs w:val="22"/>
          <w:lang w:val="en-US" w:eastAsia="zh-CN"/>
        </w:rPr>
        <w:t xml:space="preserve"> is crucial to further determine related requirements. Thus, clarifications are needed to be added to the spec.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TS 38.133 [2], it clearly states that the requirements for CBD only apply provided that the SSBs configured for candidate beam detection are actually transmitted.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43" w:type="dxa"/>
          </w:tcPr>
          <w:p>
            <w:pPr>
              <w:pStyle w:val="4"/>
              <w:rPr>
                <w:lang w:val="en-US"/>
              </w:rPr>
            </w:pPr>
            <w:r>
              <w:rPr>
                <w:lang w:val="en-US"/>
              </w:rPr>
              <w:t>8.5A.5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Requirements for SSB based candidate beam detection</w:t>
            </w:r>
          </w:p>
          <w:p>
            <w:pPr>
              <w:pStyle w:val="5"/>
              <w:rPr>
                <w:lang w:val="en-US"/>
              </w:rPr>
            </w:pPr>
            <w:r>
              <w:rPr>
                <w:rFonts w:eastAsia="?? ??"/>
                <w:lang w:val="en-US"/>
              </w:rPr>
              <w:t>8.5A.5.1</w:t>
            </w:r>
            <w:r>
              <w:rPr>
                <w:rFonts w:eastAsia="?? ??"/>
                <w:lang w:val="en-US"/>
              </w:rPr>
              <w:tab/>
            </w:r>
            <w:r>
              <w:rPr>
                <w:lang w:val="en-US"/>
              </w:rPr>
              <w:t>Introduction</w:t>
            </w:r>
          </w:p>
          <w:p>
            <w:pPr>
              <w:rPr>
                <w:rFonts w:hint="default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lang w:val="en-US"/>
              </w:rPr>
              <w:t>The requirements in this clause apply for each CBD-RS SSB resource in the set</w:t>
            </w:r>
            <w:r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ub>
              </m:sSub>
            </m:oMath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configured for a serving cell, </w:t>
            </w:r>
            <w:r>
              <w:rPr>
                <w:highlight w:val="yellow"/>
                <w:lang w:val="en-US"/>
              </w:rPr>
              <w:t xml:space="preserve">provided that the SSBs configured for candidate </w:t>
            </w:r>
            <w:r>
              <w:rPr>
                <w:rFonts w:cs="v5.0.0"/>
                <w:highlight w:val="yellow"/>
                <w:lang w:val="en-US"/>
              </w:rPr>
              <w:t>beam detection</w:t>
            </w:r>
            <w:r>
              <w:rPr>
                <w:highlight w:val="yellow"/>
                <w:lang w:val="en-US"/>
              </w:rPr>
              <w:t xml:space="preserve"> are actually transmitted</w:t>
            </w:r>
            <w:r>
              <w:rPr>
                <w:lang w:val="en-US"/>
              </w:rPr>
              <w:t xml:space="preserve"> within UE active DL BWP during the entire evaluation period specified in clause 8.5A.5.2, but occasionally may not be transmitted due to CCA operation.</w:t>
            </w:r>
          </w:p>
        </w:tc>
      </w:tr>
    </w:tbl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Also, the evaluation period is defined in the following table.</w:t>
      </w:r>
    </w:p>
    <w:p>
      <w:pPr>
        <w:pStyle w:val="62"/>
        <w:rPr>
          <w:lang w:val="en-US"/>
        </w:rPr>
      </w:pPr>
      <w:r>
        <w:rPr>
          <w:lang w:val="en-US"/>
        </w:rPr>
        <w:t>Table 8.5A.5.2-1: Evaluation period T</w:t>
      </w:r>
      <w:r>
        <w:rPr>
          <w:vertAlign w:val="subscript"/>
          <w:lang w:val="en-US"/>
        </w:rPr>
        <w:t>Evaluate_CBD_SSB_CCA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5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Evaluate_CBD_SSB_CCA</w:t>
            </w:r>
            <w:r>
              <w:rPr>
                <w:lang w:val="en-US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val="en-US"/>
              </w:rPr>
            </w:pPr>
            <w:r>
              <w:rPr>
                <w:lang w:val="en-US"/>
              </w:rPr>
              <w:t xml:space="preserve">non-DRX, DRX cycle </w:t>
            </w:r>
            <w:r>
              <w:rPr>
                <w:rFonts w:cs="Arial"/>
                <w:lang w:val="en-US"/>
              </w:rPr>
              <w:t xml:space="preserve">≤ </w:t>
            </w:r>
            <w:r>
              <w:rPr>
                <w:lang w:val="en-US"/>
              </w:rPr>
              <w:t>320ms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val="en-US"/>
              </w:rPr>
            </w:pPr>
            <w:r>
              <w:rPr>
                <w:rFonts w:cs="v4.2.0"/>
                <w:lang w:val="en-US"/>
              </w:rPr>
              <w:t xml:space="preserve">Max(25, </w:t>
            </w:r>
            <w:r>
              <w:rPr>
                <w:lang w:val="en-US"/>
              </w:rPr>
              <w:t>Ceil((3 + 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) </w:t>
            </w:r>
            <w:r>
              <w:rPr>
                <w:rFonts w:cs="Arial"/>
                <w:szCs w:val="18"/>
                <w:lang w:val="en-US"/>
              </w:rPr>
              <w:sym w:font="Symbol" w:char="F0B4"/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lang w:val="en-US"/>
              </w:rPr>
              <w:t xml:space="preserve">P) </w:t>
            </w:r>
            <w:r>
              <w:rPr>
                <w:rFonts w:cs="Arial"/>
                <w:szCs w:val="18"/>
                <w:lang w:val="en-US"/>
              </w:rPr>
              <w:sym w:font="Symbol" w:char="F0B4"/>
            </w:r>
            <w:r>
              <w:rPr>
                <w:lang w:val="en-US"/>
              </w:rPr>
              <w:t xml:space="preserve"> T</w:t>
            </w:r>
            <w:r>
              <w:rPr>
                <w:vertAlign w:val="subscript"/>
                <w:lang w:val="en-US"/>
              </w:rPr>
              <w:t>SSB</w:t>
            </w:r>
            <w:r>
              <w:rPr>
                <w:rFonts w:cs="v4.2.0"/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val="en-US"/>
              </w:rPr>
            </w:pPr>
            <w:r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v4.2.0"/>
                <w:vertAlign w:val="subscript"/>
                <w:lang w:val="en-US"/>
              </w:rPr>
            </w:pPr>
            <w:r>
              <w:rPr>
                <w:rFonts w:cs="v4.2.0"/>
                <w:highlight w:val="yellow"/>
                <w:lang w:val="en-US"/>
              </w:rPr>
              <w:t>Ceil((3 + L</w:t>
            </w:r>
            <w:r>
              <w:rPr>
                <w:rFonts w:cs="v4.2.0"/>
                <w:highlight w:val="yellow"/>
                <w:vertAlign w:val="subscript"/>
                <w:lang w:val="en-US"/>
              </w:rPr>
              <w:t>CBD</w:t>
            </w:r>
            <w:r>
              <w:rPr>
                <w:rFonts w:cs="v4.2.0"/>
                <w:highlight w:val="yellow"/>
                <w:lang w:val="en-US"/>
              </w:rPr>
              <w:t xml:space="preserve">) </w:t>
            </w:r>
            <w:r>
              <w:rPr>
                <w:rFonts w:cs="Arial"/>
                <w:szCs w:val="18"/>
                <w:highlight w:val="yellow"/>
                <w:lang w:val="en-US"/>
              </w:rPr>
              <w:sym w:font="Symbol" w:char="F0B4"/>
            </w:r>
            <w:r>
              <w:rPr>
                <w:rFonts w:cs="Arial"/>
                <w:szCs w:val="18"/>
                <w:highlight w:val="yellow"/>
                <w:lang w:val="en-US"/>
              </w:rPr>
              <w:t xml:space="preserve"> </w:t>
            </w:r>
            <w:r>
              <w:rPr>
                <w:rFonts w:cs="v4.2.0"/>
                <w:highlight w:val="yellow"/>
                <w:lang w:val="en-US"/>
              </w:rPr>
              <w:t xml:space="preserve">P) </w:t>
            </w:r>
            <w:r>
              <w:rPr>
                <w:rFonts w:cs="Arial"/>
                <w:szCs w:val="18"/>
                <w:highlight w:val="yellow"/>
                <w:lang w:val="en-US"/>
              </w:rPr>
              <w:sym w:font="Symbol" w:char="F0B4"/>
            </w:r>
            <w:r>
              <w:rPr>
                <w:rFonts w:cs="v4.2.0"/>
                <w:highlight w:val="yellow"/>
                <w:lang w:val="en-US"/>
              </w:rPr>
              <w:t xml:space="preserve"> T</w:t>
            </w:r>
            <w:r>
              <w:rPr>
                <w:rFonts w:cs="v4.2.0"/>
                <w:highlight w:val="yellow"/>
                <w:vertAlign w:val="subscript"/>
                <w:lang w:val="en-US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>
              <w:rPr>
                <w:rFonts w:cs="v4.2.0"/>
                <w:lang w:val="en-US"/>
              </w:rPr>
              <w:t>T</w:t>
            </w:r>
            <w:r>
              <w:rPr>
                <w:rFonts w:cs="v4.2.0"/>
                <w:vertAlign w:val="subscript"/>
                <w:lang w:val="en-US"/>
              </w:rPr>
              <w:t>SSB</w:t>
            </w:r>
            <w:r>
              <w:rPr>
                <w:lang w:val="en-US"/>
              </w:rPr>
              <w:t xml:space="preserve"> is the periodicity of SSB in the set</w:t>
            </w:r>
            <w:r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ub>
              </m:sSub>
            </m:oMath>
            <w:r>
              <w:rPr>
                <w:lang w:val="en-US"/>
              </w:rPr>
              <w:t>.</w:t>
            </w:r>
            <w:r>
              <w:rPr>
                <w:rFonts w:cs="v4.2.0"/>
                <w:lang w:val="en-US"/>
              </w:rPr>
              <w:t xml:space="preserve"> T</w:t>
            </w:r>
            <w:r>
              <w:rPr>
                <w:rFonts w:cs="v4.2.0"/>
                <w:vertAlign w:val="subscript"/>
                <w:lang w:val="en-US"/>
              </w:rPr>
              <w:t>DRX</w:t>
            </w:r>
            <w:r>
              <w:rPr>
                <w:lang w:val="en-US"/>
              </w:rPr>
              <w:t xml:space="preserve"> is the DRX cycle length.</w:t>
            </w:r>
          </w:p>
          <w:p>
            <w:pPr>
              <w:pStyle w:val="68"/>
              <w:rPr>
                <w:rFonts w:cs="Arial"/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is the number of CBD-RS SSB occasions not available at the UE during T</w:t>
            </w:r>
            <w:r>
              <w:rPr>
                <w:vertAlign w:val="subscript"/>
                <w:lang w:val="en-US"/>
              </w:rPr>
              <w:t>Evaluate_CBD_SSB_CCA</w:t>
            </w:r>
            <w:r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≤ 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r>
              <w:rPr>
                <w:rFonts w:cs="Arial"/>
                <w:lang w:val="en-US"/>
              </w:rPr>
              <w:t>. [The UE is not required to determine the availability of SSB occasions more frequent than once per DRX cycle length, when configured with DRX.]</w:t>
            </w:r>
          </w:p>
          <w:p>
            <w:pPr>
              <w:pStyle w:val="68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3:</w:t>
            </w:r>
            <w:r>
              <w:rPr>
                <w:rFonts w:cs="Arial"/>
                <w:lang w:val="en-US"/>
              </w:rPr>
              <w:tab/>
            </w:r>
            <w:r>
              <w:rPr>
                <w:rFonts w:cs="Arial"/>
                <w:lang w:val="en-US"/>
              </w:rPr>
              <w:t>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r>
              <w:rPr>
                <w:rFonts w:cs="Arial"/>
                <w:lang w:val="en-US"/>
              </w:rPr>
              <w:t>=7 for Max(T</w:t>
            </w:r>
            <w:r>
              <w:rPr>
                <w:rFonts w:cs="Arial"/>
                <w:vertAlign w:val="subscript"/>
                <w:lang w:val="en-US"/>
              </w:rPr>
              <w:t>DRX</w:t>
            </w:r>
            <w:r>
              <w:rPr>
                <w:rFonts w:cs="Arial"/>
                <w:lang w:val="en-US"/>
              </w:rPr>
              <w:t>, T</w:t>
            </w:r>
            <w:r>
              <w:rPr>
                <w:rFonts w:cs="Arial"/>
                <w:vertAlign w:val="subscript"/>
                <w:lang w:val="en-US"/>
              </w:rPr>
              <w:t>SSB</w:t>
            </w:r>
            <w:r>
              <w:rPr>
                <w:rFonts w:cs="Arial"/>
                <w:lang w:val="en-US"/>
              </w:rPr>
              <w:t>) ≤ 40 assuming T</w:t>
            </w:r>
            <w:r>
              <w:rPr>
                <w:rFonts w:cs="Arial"/>
                <w:vertAlign w:val="subscript"/>
                <w:lang w:val="en-US"/>
              </w:rPr>
              <w:t>DRX</w:t>
            </w:r>
            <w:r>
              <w:rPr>
                <w:rFonts w:cs="Arial"/>
                <w:lang w:val="en-US"/>
              </w:rPr>
              <w:t xml:space="preserve">=0 for non-DRX, </w:t>
            </w:r>
            <w:r>
              <w:rPr>
                <w:rFonts w:cs="Arial"/>
                <w:lang w:val="en-US"/>
              </w:rPr>
              <w:br w:type="textWrapping"/>
            </w:r>
            <w:r>
              <w:rPr>
                <w:rFonts w:cs="Arial"/>
                <w:lang w:val="en-US"/>
              </w:rPr>
              <w:t>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r>
              <w:rPr>
                <w:rFonts w:cs="Arial"/>
                <w:lang w:val="en-US"/>
              </w:rPr>
              <w:t>=5 for 40 &lt; Max(T</w:t>
            </w:r>
            <w:r>
              <w:rPr>
                <w:rFonts w:cs="Arial"/>
                <w:vertAlign w:val="subscript"/>
                <w:lang w:val="en-US"/>
              </w:rPr>
              <w:t>DRX</w:t>
            </w:r>
            <w:r>
              <w:rPr>
                <w:rFonts w:cs="Arial"/>
                <w:lang w:val="en-US"/>
              </w:rPr>
              <w:t>, T</w:t>
            </w:r>
            <w:r>
              <w:rPr>
                <w:rFonts w:cs="Arial"/>
                <w:vertAlign w:val="subscript"/>
                <w:lang w:val="en-US"/>
              </w:rPr>
              <w:t>SSB</w:t>
            </w:r>
            <w:r>
              <w:rPr>
                <w:rFonts w:cs="Arial"/>
                <w:lang w:val="en-US"/>
              </w:rPr>
              <w:t xml:space="preserve">) ≤ 320, </w:t>
            </w:r>
            <w:r>
              <w:rPr>
                <w:rFonts w:cs="Arial"/>
                <w:lang w:val="en-US"/>
              </w:rPr>
              <w:br w:type="textWrapping"/>
            </w:r>
            <w:r>
              <w:rPr>
                <w:rFonts w:cs="Arial"/>
                <w:lang w:val="en-US"/>
              </w:rPr>
              <w:t>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r>
              <w:rPr>
                <w:rFonts w:cs="Arial"/>
                <w:lang w:val="en-US"/>
              </w:rPr>
              <w:t>=3 for T</w:t>
            </w:r>
            <w:r>
              <w:rPr>
                <w:rFonts w:cs="Arial"/>
                <w:vertAlign w:val="subscript"/>
                <w:lang w:val="en-US"/>
              </w:rPr>
              <w:t>DRX</w:t>
            </w:r>
            <w:r>
              <w:rPr>
                <w:rFonts w:cs="Arial"/>
                <w:lang w:val="en-US"/>
              </w:rPr>
              <w:t xml:space="preserve"> &gt; 320.</w:t>
            </w:r>
          </w:p>
          <w:p>
            <w:pPr>
              <w:pStyle w:val="68"/>
              <w:rPr>
                <w:rFonts w:cs="v4.2.0"/>
                <w:lang w:val="en-US"/>
              </w:rPr>
            </w:pPr>
            <w:r>
              <w:rPr>
                <w:rFonts w:cs="v4.2.0"/>
                <w:lang w:val="en-US"/>
              </w:rPr>
              <w:t>Note 4</w:t>
            </w:r>
            <w:r>
              <w:rPr>
                <w:rFonts w:cs="v4.2.0"/>
                <w:lang w:val="en-US"/>
              </w:rPr>
              <w:tab/>
            </w:r>
            <w:r>
              <w:rPr>
                <w:rFonts w:cs="v4.2.0"/>
                <w:lang w:val="en-US"/>
              </w:rPr>
              <w:t>If L</w:t>
            </w:r>
            <w:r>
              <w:rPr>
                <w:rFonts w:cs="v4.2.0"/>
                <w:vertAlign w:val="subscript"/>
                <w:lang w:val="en-US"/>
              </w:rPr>
              <w:t>CBD</w:t>
            </w:r>
            <w:r>
              <w:rPr>
                <w:rFonts w:cs="v4.2.0"/>
                <w:lang w:val="en-US"/>
              </w:rPr>
              <w:t>&gt;L</w:t>
            </w:r>
            <w:r>
              <w:rPr>
                <w:rFonts w:cs="v4.2.0"/>
                <w:vertAlign w:val="subscript"/>
                <w:lang w:val="en-US"/>
              </w:rPr>
              <w:t>CBD,max</w:t>
            </w:r>
            <w:r>
              <w:rPr>
                <w:rFonts w:cs="v4.2.0"/>
                <w:lang w:val="en-US"/>
              </w:rPr>
              <w:t>, the UE shall assume no new candidate beams are found for this evaluation period.</w:t>
            </w:r>
          </w:p>
        </w:tc>
      </w:tr>
    </w:tbl>
    <w:p>
      <w:pPr>
        <w:rPr>
          <w:rFonts w:hint="default" w:eastAsia="宋体"/>
          <w:sz w:val="22"/>
          <w:szCs w:val="22"/>
          <w:lang w:val="en-US" w:eastAsia="zh-CN"/>
        </w:rPr>
      </w:pP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Looking at the third row of the table which is when DRX cycle is large than 320 ms, what the value suggests now is contradictory to the proposal of </w:t>
      </w:r>
      <w:r>
        <w:rPr>
          <w:rFonts w:hint="default" w:eastAsia="宋体"/>
          <w:sz w:val="22"/>
          <w:szCs w:val="22"/>
          <w:lang w:val="en-US" w:eastAsia="zh-CN"/>
        </w:rPr>
        <w:t>“</w:t>
      </w:r>
      <w:r>
        <w:rPr>
          <w:rFonts w:hint="default" w:eastAsia="宋体"/>
          <w:i/>
          <w:iCs/>
          <w:sz w:val="22"/>
          <w:szCs w:val="22"/>
          <w:lang w:val="en-US" w:eastAsia="zh-CN"/>
        </w:rPr>
        <w:t>the UE is not required to determine the availability of SSB occasions more frequent than once per P*DRX cycle length when configured with DRX</w:t>
      </w:r>
      <w:r>
        <w:rPr>
          <w:rFonts w:hint="default" w:eastAsia="宋体"/>
          <w:sz w:val="22"/>
          <w:szCs w:val="22"/>
          <w:lang w:val="en-US" w:eastAsia="zh-CN"/>
        </w:rPr>
        <w:t>”</w:t>
      </w:r>
      <w:r>
        <w:rPr>
          <w:rFonts w:hint="eastAsia" w:eastAsia="宋体"/>
          <w:sz w:val="22"/>
          <w:szCs w:val="22"/>
          <w:lang w:val="en-US" w:eastAsia="zh-CN"/>
        </w:rPr>
        <w:t xml:space="preserve">. If the UE only detects availability of SSB once per </w:t>
      </w:r>
      <w:r>
        <w:rPr>
          <w:rFonts w:hint="default" w:eastAsia="宋体"/>
          <w:sz w:val="22"/>
          <w:szCs w:val="22"/>
          <w:lang w:val="en-US" w:eastAsia="zh-CN"/>
        </w:rPr>
        <w:t>P*DRX cycle</w:t>
      </w:r>
      <w:r>
        <w:rPr>
          <w:rFonts w:hint="eastAsia" w:eastAsia="宋体"/>
          <w:sz w:val="22"/>
          <w:szCs w:val="22"/>
          <w:lang w:val="en-US" w:eastAsia="zh-CN"/>
        </w:rPr>
        <w:t xml:space="preserve"> then the UE would only detect L</w:t>
      </w:r>
      <w:r>
        <w:rPr>
          <w:rFonts w:hint="eastAsia" w:eastAsia="宋体"/>
          <w:sz w:val="22"/>
          <w:szCs w:val="22"/>
          <w:vertAlign w:val="subscript"/>
          <w:lang w:val="en-US" w:eastAsia="zh-CN"/>
        </w:rPr>
        <w:t>CBD</w:t>
      </w:r>
      <w:r>
        <w:rPr>
          <w:rFonts w:hint="eastAsia" w:eastAsia="宋体"/>
          <w:sz w:val="22"/>
          <w:szCs w:val="22"/>
          <w:lang w:val="en-US" w:eastAsia="zh-CN"/>
        </w:rPr>
        <w:t xml:space="preserve"> samples instead of (3 + L</w:t>
      </w:r>
      <w:r>
        <w:rPr>
          <w:rFonts w:hint="eastAsia" w:eastAsia="宋体"/>
          <w:sz w:val="22"/>
          <w:szCs w:val="22"/>
          <w:vertAlign w:val="subscript"/>
          <w:lang w:val="en-US" w:eastAsia="zh-CN"/>
        </w:rPr>
        <w:t>CBD</w:t>
      </w:r>
      <w:r>
        <w:rPr>
          <w:rFonts w:hint="eastAsia" w:eastAsia="宋体"/>
          <w:sz w:val="22"/>
          <w:szCs w:val="22"/>
          <w:lang w:val="en-US" w:eastAsia="zh-CN"/>
        </w:rPr>
        <w:t>).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1: </w:t>
      </w:r>
      <w:r>
        <w:rPr>
          <w:rFonts w:hint="eastAsia" w:eastAsia="宋体"/>
          <w:sz w:val="22"/>
          <w:szCs w:val="22"/>
          <w:lang w:val="en-US" w:eastAsia="zh-CN"/>
        </w:rPr>
        <w:t xml:space="preserve">The current requirement in TS 38.133 requires the UE to determine the availability of SSB more frequent than </w:t>
      </w:r>
      <w:r>
        <w:rPr>
          <w:rFonts w:hint="default" w:eastAsia="宋体"/>
          <w:sz w:val="22"/>
          <w:szCs w:val="22"/>
          <w:lang w:val="en-US" w:eastAsia="zh-CN"/>
        </w:rPr>
        <w:t>than once per P*DRX cycle length</w:t>
      </w:r>
      <w:r>
        <w:rPr>
          <w:rFonts w:hint="eastAsia" w:eastAsia="宋体"/>
          <w:sz w:val="22"/>
          <w:szCs w:val="22"/>
          <w:lang w:val="en-US" w:eastAsia="zh-CN"/>
        </w:rPr>
        <w:t xml:space="preserve"> when DRX cycle is larger than 320 ms.</w:t>
      </w:r>
    </w:p>
    <w:p>
      <w:pPr>
        <w:pStyle w:val="35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UE should determine the availability of SSB more frequent than </w:t>
      </w:r>
      <w:r>
        <w:rPr>
          <w:rFonts w:hint="default" w:eastAsia="宋体"/>
          <w:sz w:val="22"/>
          <w:szCs w:val="22"/>
          <w:lang w:val="en-US" w:eastAsia="zh-CN"/>
        </w:rPr>
        <w:t>than once per P*DRX cycle length</w:t>
      </w:r>
      <w:r>
        <w:rPr>
          <w:rFonts w:hint="eastAsia" w:eastAsia="宋体"/>
          <w:sz w:val="22"/>
          <w:szCs w:val="22"/>
          <w:lang w:val="en-US" w:eastAsia="zh-CN"/>
        </w:rPr>
        <w:t xml:space="preserve"> when DRX cycle is larger than 320 ms</w:t>
      </w: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. </w:t>
      </w:r>
    </w:p>
    <w:p>
      <w:pPr>
        <w:pStyle w:val="27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1: </w:t>
      </w:r>
      <w:r>
        <w:rPr>
          <w:rFonts w:hint="eastAsia" w:eastAsia="宋体"/>
          <w:sz w:val="22"/>
          <w:szCs w:val="22"/>
          <w:lang w:val="en-US" w:eastAsia="zh-CN"/>
        </w:rPr>
        <w:t xml:space="preserve">The current requirement in TS 38.133 requires the UE to determine the availability of SSB more frequent than </w:t>
      </w:r>
      <w:r>
        <w:rPr>
          <w:rFonts w:hint="default" w:eastAsia="宋体"/>
          <w:sz w:val="22"/>
          <w:szCs w:val="22"/>
          <w:lang w:val="en-US" w:eastAsia="zh-CN"/>
        </w:rPr>
        <w:t>than once per P*DRX cycle length</w:t>
      </w:r>
      <w:r>
        <w:rPr>
          <w:rFonts w:hint="eastAsia" w:eastAsia="宋体"/>
          <w:sz w:val="22"/>
          <w:szCs w:val="22"/>
          <w:lang w:val="en-US" w:eastAsia="zh-CN"/>
        </w:rPr>
        <w:t xml:space="preserve"> when DRX cycle is larger than 320 ms.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1: </w:t>
      </w:r>
      <w:bookmarkStart w:id="4" w:name="_GoBack"/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UE should determine the availability of SSB more frequent than </w:t>
      </w:r>
      <w:r>
        <w:rPr>
          <w:rFonts w:hint="default" w:eastAsia="宋体"/>
          <w:b/>
          <w:bCs/>
          <w:sz w:val="22"/>
          <w:szCs w:val="22"/>
          <w:lang w:val="en-US" w:eastAsia="zh-CN"/>
        </w:rPr>
        <w:t>than once per P*DRX cycle length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 when DRX cycle is larger than 320 ms</w:t>
      </w:r>
      <w:r>
        <w:rPr>
          <w:rFonts w:hint="eastAsia"/>
          <w:b/>
          <w:bCs/>
          <w:sz w:val="22"/>
          <w:szCs w:val="22"/>
          <w:lang w:val="en-US" w:eastAsia="zh-CN"/>
        </w:rPr>
        <w:t>.</w:t>
      </w:r>
      <w:bookmarkEnd w:id="4"/>
    </w:p>
    <w:p>
      <w:pPr>
        <w:pStyle w:val="27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R4-2105700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TS 38.133, v16.7.0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7A379D"/>
    <w:rsid w:val="039A1BDA"/>
    <w:rsid w:val="03AE4991"/>
    <w:rsid w:val="03C6506D"/>
    <w:rsid w:val="03F37217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A1653"/>
    <w:rsid w:val="0C3C5307"/>
    <w:rsid w:val="0C3E160C"/>
    <w:rsid w:val="0C56263C"/>
    <w:rsid w:val="0C5E2B8A"/>
    <w:rsid w:val="0D102274"/>
    <w:rsid w:val="0D7C260E"/>
    <w:rsid w:val="0DA958CA"/>
    <w:rsid w:val="0DF104D3"/>
    <w:rsid w:val="0E1C586B"/>
    <w:rsid w:val="0E2D1B5C"/>
    <w:rsid w:val="0E8A024B"/>
    <w:rsid w:val="0ED138E6"/>
    <w:rsid w:val="0F130B06"/>
    <w:rsid w:val="0F67780F"/>
    <w:rsid w:val="0F8F3C2A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22017FC"/>
    <w:rsid w:val="12753179"/>
    <w:rsid w:val="128409CA"/>
    <w:rsid w:val="12BB3A94"/>
    <w:rsid w:val="12EF585C"/>
    <w:rsid w:val="13262572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1C53C0"/>
    <w:rsid w:val="23514077"/>
    <w:rsid w:val="23855295"/>
    <w:rsid w:val="23B20773"/>
    <w:rsid w:val="23CF6D67"/>
    <w:rsid w:val="23FF1EED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816188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1F4233E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9D36EF"/>
    <w:rsid w:val="56DA5A5F"/>
    <w:rsid w:val="577E3F1D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A6F32"/>
    <w:rsid w:val="762B3711"/>
    <w:rsid w:val="76696B17"/>
    <w:rsid w:val="76696D01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  <w:style w:type="paragraph" w:customStyle="1" w:styleId="66">
    <w:name w:val="TAH"/>
    <w:basedOn w:val="67"/>
    <w:qFormat/>
    <w:uiPriority w:val="0"/>
    <w:rPr>
      <w:b/>
    </w:rPr>
  </w:style>
  <w:style w:type="paragraph" w:customStyle="1" w:styleId="67">
    <w:name w:val="TAC"/>
    <w:basedOn w:val="47"/>
    <w:qFormat/>
    <w:uiPriority w:val="0"/>
    <w:pPr>
      <w:jc w:val="center"/>
    </w:pPr>
  </w:style>
  <w:style w:type="paragraph" w:customStyle="1" w:styleId="68">
    <w:name w:val="TAN"/>
    <w:basedOn w:val="47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73285D-2887-45E3-A024-3D1E71CC8E74}">
  <ds:schemaRefs/>
</ds:datastoreItem>
</file>

<file path=customXml/itemProps3.xml><?xml version="1.0" encoding="utf-8"?>
<ds:datastoreItem xmlns:ds="http://schemas.openxmlformats.org/officeDocument/2006/customXml" ds:itemID="{E8E32C24-5F96-4713-A70F-A7BA20BB6CD6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AA4E9F1-3478-4E48-ACB7-A0EA7CF8F594}">
  <ds:schemaRefs/>
</ds:datastoreItem>
</file>

<file path=customXml/itemProps6.xml><?xml version="1.0" encoding="utf-8"?>
<ds:datastoreItem xmlns:ds="http://schemas.openxmlformats.org/officeDocument/2006/customXml" ds:itemID="{08DA32A5-C37F-4DB0-94C0-5301A1F35695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2021-05-06T08:26:24Z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